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5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Отчет об исполнении Комплек</w:t>
      </w:r>
      <w:bookmarkStart w:id="0" w:name="_GoBack"/>
      <w:r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са мер по антикоррупционному просвещению граждан 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5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города  Покачи в 202</w:t>
      </w:r>
      <w:r>
        <w:rPr>
          <w:rFonts w:ascii="Times New Roman" w:hAnsi="Times New Roman" w:cs="Times New Roman"/>
          <w:b/>
          <w:sz w:val="24"/>
          <w:szCs w:val="24"/>
        </w:rPr>
        <w:t xml:space="preserve">4 </w:t>
      </w:r>
      <w:r>
        <w:rPr>
          <w:rFonts w:ascii="Times New Roman" w:hAnsi="Times New Roman" w:cs="Times New Roman"/>
          <w:b/>
          <w:sz w:val="24"/>
          <w:szCs w:val="24"/>
        </w:rPr>
        <w:t xml:space="preserve">году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5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5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Комплекс мер по антикоррупционному просвещению граждан города Покачи на 202</w:t>
      </w:r>
      <w:r>
        <w:rPr>
          <w:rFonts w:ascii="Times New Roman" w:hAnsi="Times New Roman" w:cs="Times New Roman"/>
          <w:sz w:val="24"/>
          <w:szCs w:val="24"/>
        </w:rPr>
        <w:t xml:space="preserve">4</w:t>
      </w:r>
      <w:r>
        <w:rPr>
          <w:rFonts w:ascii="Times New Roman" w:hAnsi="Times New Roman" w:cs="Times New Roman"/>
          <w:sz w:val="24"/>
          <w:szCs w:val="24"/>
        </w:rPr>
        <w:t xml:space="preserve"> год утвержден постановлением администрации города Покачи от </w:t>
      </w:r>
      <w:r>
        <w:rPr>
          <w:rFonts w:ascii="Times New Roman" w:hAnsi="Times New Roman" w:cs="Times New Roman"/>
          <w:sz w:val="24"/>
          <w:szCs w:val="24"/>
        </w:rPr>
        <w:t xml:space="preserve">22</w:t>
      </w:r>
      <w:r>
        <w:rPr>
          <w:rFonts w:ascii="Times New Roman" w:hAnsi="Times New Roman" w:cs="Times New Roman"/>
          <w:sz w:val="24"/>
          <w:szCs w:val="24"/>
        </w:rPr>
        <w:t xml:space="preserve">.12.202</w:t>
      </w:r>
      <w:r>
        <w:rPr>
          <w:rFonts w:ascii="Times New Roman" w:hAnsi="Times New Roman" w:cs="Times New Roman"/>
          <w:sz w:val="24"/>
          <w:szCs w:val="24"/>
        </w:rPr>
        <w:t xml:space="preserve">3</w:t>
      </w:r>
      <w:r>
        <w:rPr>
          <w:rFonts w:ascii="Times New Roman" w:hAnsi="Times New Roman" w:cs="Times New Roman"/>
          <w:sz w:val="24"/>
          <w:szCs w:val="24"/>
        </w:rPr>
        <w:t xml:space="preserve"> № 1</w:t>
      </w:r>
      <w:r>
        <w:rPr>
          <w:rFonts w:ascii="Times New Roman" w:hAnsi="Times New Roman" w:cs="Times New Roman"/>
          <w:sz w:val="24"/>
          <w:szCs w:val="24"/>
        </w:rPr>
        <w:t xml:space="preserve">061</w:t>
      </w:r>
      <w:r>
        <w:rPr>
          <w:rFonts w:ascii="Times New Roman" w:hAnsi="Times New Roman" w:cs="Times New Roman"/>
          <w:sz w:val="24"/>
          <w:szCs w:val="24"/>
        </w:rPr>
        <w:t xml:space="preserve">  «Об утверждении Комплекса мер по антикоррупционному просвещению граждан город</w:t>
      </w:r>
      <w:r>
        <w:rPr>
          <w:rFonts w:ascii="Times New Roman" w:hAnsi="Times New Roman" w:cs="Times New Roman"/>
          <w:sz w:val="24"/>
          <w:szCs w:val="24"/>
        </w:rPr>
        <w:t xml:space="preserve">а</w:t>
      </w:r>
      <w:r>
        <w:rPr>
          <w:rFonts w:ascii="Times New Roman" w:hAnsi="Times New Roman" w:cs="Times New Roman"/>
          <w:sz w:val="24"/>
          <w:szCs w:val="24"/>
        </w:rPr>
        <w:t xml:space="preserve"> Покачи на 202</w:t>
      </w:r>
      <w:r>
        <w:rPr>
          <w:rFonts w:ascii="Times New Roman" w:hAnsi="Times New Roman" w:cs="Times New Roman"/>
          <w:sz w:val="24"/>
          <w:szCs w:val="24"/>
        </w:rPr>
        <w:t xml:space="preserve">4</w:t>
      </w:r>
      <w:r>
        <w:rPr>
          <w:rFonts w:ascii="Times New Roman" w:hAnsi="Times New Roman" w:cs="Times New Roman"/>
          <w:sz w:val="24"/>
          <w:szCs w:val="24"/>
        </w:rPr>
        <w:t xml:space="preserve"> год»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Style w:val="855"/>
        <w:tblW w:w="15276" w:type="dxa"/>
        <w:tblLayout w:type="fixed"/>
        <w:tblLook w:val="04A0" w:firstRow="1" w:lastRow="0" w:firstColumn="1" w:lastColumn="0" w:noHBand="0" w:noVBand="1"/>
      </w:tblPr>
      <w:tblGrid>
        <w:gridCol w:w="534"/>
        <w:gridCol w:w="6095"/>
        <w:gridCol w:w="2693"/>
        <w:gridCol w:w="5954"/>
      </w:tblGrid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/п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Ответственный исполнитель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Исполнение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jc w:val="both"/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в средствах массовой информации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материалов, направленных на недопустимость коррупционного поведения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кадрам и делопроизводству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2024 было размещено 93 материала в газете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Покачевский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84 материала, в сетевом издании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ПокачиИнформ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9 материалов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официальном сайте администрации города Покачи результатов проведения анализа обращений граждан на предмет наличия информации о фактах коррупционных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проявлений;при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подтверждении фактов коррупционного поведения опубликование отчета о принятых мерах реагирования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кадрам и делопроизводству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ind w:firstLine="317"/>
              <w:jc w:val="both"/>
              <w:shd w:val="clear" w:color="auto" w:fill="ffffff" w:themeFill="background1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eastAsia="ru-RU"/>
              </w:rPr>
              <w:t xml:space="preserve">  Особый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акцент в работе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по противодействию коррупции сделан на формировании свободного, беспрепятственного способа обращения граждан в органы местного самоуправления по тем или иным вопросам. Именно обращения граждан являются средством проявления их общественно-политической акти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вности, дают возможность жителям участвовать в определении задач и направлений деятельности должностных лиц местного самоуправления, и что самое главное, именно обращения являются элементом обратной связи между жителями и органами местного самоуправления. </w:t>
            </w:r>
            <w:r/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ind w:firstLine="317"/>
              <w:jc w:val="both"/>
              <w:shd w:val="clear" w:color="auto" w:fill="ffffff" w:themeFill="background1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    Одной из форм деятельности в указанном направлении является организация работы «телефона доверия». «Телефон доверия» установлен в управлении по кадрам и делопроизводству администрации города Покачи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соответствии с постановле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нием администрации города Покачи от 29.12.2012 № 1342 «Об утверждении Положения о работе «телефона доверия» по фактам коррупционной направленности». Каждый гражданин может, позвонив по номеру 8 (34669) 72354, сообщить информацию о коррупционных нарушениях.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ind w:firstLine="317"/>
              <w:jc w:val="both"/>
              <w:shd w:val="clear" w:color="auto" w:fill="ffffff" w:themeFill="background1"/>
              <w:tabs>
                <w:tab w:val="left" w:pos="709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    В соответствии с Федеральным законом от 02.05.2006 № 59-ФЗ «О порядке рассмотрения обращений граждан Российской Федерации» на сайте администрации города Покачи размещён раздел «Обращения граждан», в котором есть подраздел «Интернет-приёмная», «Вопрос-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ответ», где жители города могут направить электронное письмо главе города Покачи.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ind w:firstLine="317"/>
              <w:jc w:val="both"/>
              <w:shd w:val="clear" w:color="auto" w:fill="ffffff" w:themeFill="background1"/>
              <w:tabs>
                <w:tab w:val="left" w:pos="709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      В 2024 году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сообщений от граждан, свя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занных с коррупционными проявлениями на территории города Покачи, в том числе по фактам обращения к гражданам в целях склонения их к совершению коррупционных преступлений и правонарушений, не поступало, в правоохранительные органы сведения не направлялись.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Муниципальными 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реждениями города Покачи на постоянной основе осуществляется анализ обращений граждан на предмет выявления коррупционной составляющей вопроса. Жалобы и обращения граждан о фактах проявления коррупции должностными лицами учреждений в 2024 году не поступали.</w:t>
            </w:r>
            <w:r/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jc w:val="both"/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граждан о результатах контрольных мероприятий органа внутреннего муниципального финансового контроля на официальном сайте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внутреннего муниципального финансового контроля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размещена на официальном сайте администрации города Покачи в подразделе «Финансовый контроль» раздела «Бюджет для граждан» https://budjet-dlya-grajdan.admpokachi.ru/finansovyy-kontrol/informatsiya-o-provedennykh-proverkakh/2024/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jc w:val="both"/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в средствах массовой информации сведений о результатах проведения конкурсов на включение в кадровый резерв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кадрам и делопроизводству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Результаты проведения конкурсов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включение в кадровый резерв администрации города Покачи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размещены на сайте администрации в разделе «Муниципальная служба»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https://admpokachi.ru/administration/munitsipalnaya-sluzhba/konkurs/rezultaty-konkursov/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jc w:val="both"/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информации, посвященной антикоррупционному просвещению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фициальных сайтах, на информационных стендах структурных подразделений администрации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учреждений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ктуализация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информационного материала.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муниципальных учреждений города Покачи, руководители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сруктурных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подразделений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всего года на информационных стендах структурных подразделений администрации и муниципальных учреждений города Покачи размещается информация по антикоррупционной тематике: памятки, буклеты, номера «телефонов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доверия», телефоны должностных лиц, к которым можно обратиться в случае коррупционных нарушений со стороны работников,  извлечения из законодательных и иных нормативных правовых актов и др. Сведения обновляются и актуализируются на постоянной основе.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холлах муниципальных учреждений транслируются видеоролики антикоррупционной тематики.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официальных сайтах образовательных организациях имеются разделы по противодействию коррупции, которые по мере необходимости актуализируются.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contextualSpacing/>
              <w:ind w:firstLine="317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рамках исполнения плана были проведены следующие мероприятия: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contextualSpacing/>
              <w:ind w:firstLine="317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ab/>
              <w:t xml:space="preserve">размещено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девять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материалов, направленных на недопустимость коррупционного поведения (статьи, памятки, информация о проведения межведомственного совета при главе города Покачи по противодействию коррупции);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contextualSpacing/>
              <w:ind w:firstLine="317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2)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ab/>
              <w:t xml:space="preserve">на сайте администрации города Покачи размещено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шесть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материалов о результатах контрольных мероприятий органа внутреннего муниципального финансового контроля;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contextualSpacing/>
              <w:ind w:firstLine="317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3)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ab/>
              <w:t xml:space="preserve"> газете 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Покачевский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вестник» размещено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два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объявления о начале конкурсного отбора в кадровый резерв администрации гор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да Покачи. Результаты проведенного кадрового резерва размещены на сайте администрации города Покачи;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contextualSpacing/>
              <w:ind w:firstLine="317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4)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ab/>
              <w:t xml:space="preserve">на сайте города Покачи, размещено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38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материалов антикоррупционному просвещению граждан, также регулярно производится актуализация информационного материала;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contextualSpacing/>
              <w:ind w:firstLine="317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5)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ab/>
              <w:t xml:space="preserve">в газете 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Покачевский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вестник» размещены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две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статьи «Об ит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огах антикоррупционной экспертизы муниципальных нормативных правовых актов администрации города Покачи за первое полугодие 2024 года», «Об итогах антикоррупционной экспертизы муниципальных нормативных правовых актов администрации города Покачи за 2024 год»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62"/>
        </w:trPr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граждан о работе администрации города Покачи по недопущению коррупционных нарушений путем опубликования в газете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Покачевский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информационных статей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Контрольно-правовое управление администрации города Покачи, управление по кадрам и делопроизводству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статья «Информация об итогах антикоррупционной экспертизы проектов муниципальных нормативных правовых актов и муниципальных нормативных правовых актов администрации города Покачи за 1 полугодие 2024 года» опубликована в газете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Покачевский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от 012.07.2024 № 28.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Статья «Информация об итогах антикоррупционной экспертизы проектов муниципальных нормативных правовых актов и муниципальных нормативных правовых актов администрации города Покачи за 2024 год» опубликована в газете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Покачевский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от 20.12.2024 №51 и размещена в сетевом издании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ПокачиИнформ»https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://vgazetepv.ru/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articles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mestnoe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samoupravlenie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media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/2024/12/16/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administratsiya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goroda-pokachi-soobschaet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709"/>
        </w:trPr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jc w:val="both"/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опубликование в газете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Покачевский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информационных статей для граждан в сфере деятельности подведомственного структурного подразделения (изменения в законодательстве, применение муниципальных правовых актов города Покачи,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 и обязанностей граждан и прочее)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Структурные подразделения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целях повышения эффективности антикоррупционной работы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структурными подразделениями администрации города Покачи за 2024 год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газете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Покачевский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опубликовано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62 информационных материала.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администрации города Покачи информации о работе межведомственного Совета при главе города Покачи по противодействию коррупции (протоколы заседаний, планы работы, отчетная информация)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кадрам и делопроизводству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работе межведомственного Совета при главе города Покачи по противодействию коррупции размещена на официальном сайте администрации города Покачи https://admpokachi.ru/administration/antikorr/sovet_po_rotivo_korr_mn.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по правовому консультированию и просвещению родителей (законных представителей) и детей в образовательных организациях,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посвященных Международному дню защиты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города Покачи, общеобразовательные организации города Покачи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vMerge w:val="restart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целью организации и проведения Всероссийского дня правовой помощи во всех образовательных организациях города Покачи были запланированы и проведены мероприятия, направленные на правовое просвещение всех участников образовательного процесса.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рамках реализации мероприятий были организованы и проведены более 50 мероприятий по правовому просвещению для воспитанников старших и подготовительных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различных по форме и содержанию: просмотр тематических мультфильмов с обсуждением, игра – викторина, деловая игра, тематическое спортивное развлечение, сюжетная игра, конкурс рисунков, познавательное чтение, беседы и др. Охват составил 926 человек.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школах города были организованы и проведены 8 развлекательных мероприятий и мероприятий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правовому просвещению с охватом 2189 учащихся.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проведении мероприятий внимание детей было обращено на то, что Российская Федерация признаёт, что детство является важным этапом в жизни человека, интересы детей являются одним из важнейших приоритетов государственной политики России.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Кроме развлекательных и профилактических мероприятий в образовательных организациях была организована бесплатная юридическая помощь в рамках консультативных пунктов.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Пункты по консультированию были организованы при управлении образования и во всех образовательных организациях города. Всего зафиксировано 10обращения за правовой помощью со стороны родителей (законных представителей), на темы: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«Организация питания многодетных семей»;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«Формы оказания психолого-педагогического сопровождения в детском саду»;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«Выплата компенсации части родительской платы за присмотр и уход за детьми в дошкольной образовательной организации»;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«Оформление ребенка в детский сад – порядок и документы».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индивидуальной форме каждому родителю (законному представителю) оказана консультационная помощь, даны рекомендации по теме обращения.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целях обеспечения удобства и мобильности при проведении консультационной правовой помощи была организована работа телефонов «горячей линии». Звонки на горячую линию в День правовой помощи не поступали.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рамках Международного Дня защиты детей: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рамках Международного Дня защиты детей обращений за правовой помощью обратились 4 родителя (законных представителя).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рамках Дня знаний: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рамках Дня знаний (1 сентября) в образовательные организации города Покачи за правовой помощью обратились 6 родителей (законных представителей).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рамках Дня правовой помощи: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рамках Дня правовой помощи (20 ноября) обращений в образовательные организации города Покачи не поступало.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по правовому консультированию и просвещению родителей (законных представителей) и детей в образовательных организациях, посвященных Дню знаний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города Покачи, общеобразовательные организации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vMerge w:val="continue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по правовому консультированию и просвещению родителей (законных представителей) и детей в образовательных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организациях, посвященных Дню правовой помощи детям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Покачи, общеобразовательные организации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vMerge w:val="continue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функционирование работы телефонов «горячей линии»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период подготовки и проведения итогового сочинения (изложения), итогового собеседования по русскому языку, государственной итоговой аттестации по образовательным программам основного общего и среднего общего образования, единого государственного экзамена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функционирование работы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елефонов «горячей линии» на период подготовки и проведения итогового сочинения (изложения), итогового собеседования по русскому языку, государственной итоговой аттестации по образовательным программам основного общего и среднего общего образования, единого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государственного образования осуществляется в соответствии с приказом управления образования администрации города Покачи от 25.10.2023 № 404-О «Об организации информирования участников образовательного процесса, выпускников прошлых лет и общественности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организации проведения ГИА по образовательным программам основного общего и среднего общего образования».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период подготовки и проведения итогового сочинения (изложения), итогового собеседования по русскому языку, государственной итоговой аттестации по образовательным программам основно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 общего и среднего общего образования, единого государственного образования на официальном сайте города Покачи размещена информация о работе телефонов «горячей линии»  https://admpokachi.ru/information/obrazovanie/gosudarstvennaya-itogovaya-attestatsiya/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общественного наблюдения за процедурами проведения итогового сочинения (изложения), итогового собеседования по русскому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языку, государственной итоговой аттестации по образовательным программам основного общего и среднего общего образования, оценки качества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общественного наблюдения за процедурами проведения итогового сочинения (изложения), итогового собеседования по русскому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языку, государственной итоговой аттестации по образовательным программам основного общего и среднего общего образования, оценки качества образования осуществлялась в соответс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твии с приказом управления образования администрации города Покачи от 06.02.2024 № 58-О «Об организации и обеспечении аккредитации граждан в качестве общественных наблюдателей при проведении государственной итоговой аттестации по образовательным программам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основного общего и среднего общего образования на территории города Покачи в 2024 году».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предсеансовой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демонстрации социальных видеороликов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нтикоррупционной направленности в учреждениях, осуществляющих кинопоказ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кадрам и делопроизводству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2024 году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муниципальном автономном учреждении Дом культуры «Октябрь»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ыла организована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предсеансовая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демонстрация следующих социальных видеороликов антикоррупционной направленности: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«Вместе против коррупции!»;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«Мы за мир без коррупции»;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Коррупция-вредная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привычка»;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«Эстафета добрых дел»;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«Лекарство против коррупции»;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«Скажи коррупции НЕТ!»;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«Выбор за тобой!»;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«А ты знаешь, что такое взятка»;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«Борьба с коррупцией дело каждого!».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 социальной рекламы антикоррупционной направленности (конкурс видеороликов, конкурс плакатов и т.д.)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Лангепасский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ноябре 2024 года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туденты колледжа выполнили творческие работы для участия в городском конкурсе рисунка «Мы против коррупции!», организованном администрацией города Покачи с целью формирования у молодежи антикоррупционного сознания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гражданской позиции, ориентированной на неприятие коррупции,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как социального явления государства и общества.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Участие приняли 10 человек.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Тематическое оформление информационного стенда, посвященного Международному дню борьбы с коррупцией (9 декабря)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Лангепасский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городе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администрации города Покачи в декабре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2024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был оформлен стенд с работами студентов, принявших участие в городском конкурсе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рисунка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«Мы против коррупции!»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круглых столов с приглашением экспертов-юристов, представителей правоохрани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ельных органов «Что такое коррупция?», «Проблемы коррупции в гражданском обществе и пути ее преодоления», «Профилактика коррупционных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равонарушений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повседневной жизни», «Взятка или подарок?», «Сессия без коррупции», «Покупка курсовых и дипломных работ. Последствия» о фактах коррупции и наказания за них в соответствии с законом (в том числе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наказания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как берущему взятку, так и дающему ее)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Лангепасский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19.11.2024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инспектором ПДН Бучка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проведены профилактические беседы в целях правового просвещения со студентами колледжа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Бучка А.В. разъяснила нормы административного и уголовного законодательства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ходе беседы капитан полиции остановилась подробно на статье 130 УК РК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Клевета – это распространение заведомо ложных сведений, порочащих честь и достоинство другого лица или подрывающих его репутацию. Социальный педагог Хакимова М.К. рассказала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буллинге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о различии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буллинга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конфликта и о формах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буллинга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Между тем, заканчивая свою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Афина Валерьевна еще раз напомнила подросткам о возрасте наступления административной и уголовной ответственности для несовершеннолетних.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дебатов «Как победить коррупцию?», «Сказка – ложь, да в ней намек…» (тема взяток в русской традиции)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Лангепасский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Дебаты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«Как победить коррупцию?», «Сказка – ложь, да в ней намек…»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проведены в сентябре 2024 года. Участие приняло 8 студентов и 3 преподавателя.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деловой игры «Взятка: за и против»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Лангепасский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елов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«Взятка: за и против»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проведена в октябре 2024 года.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приняло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студент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преподавателя.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ind w:right="67"/>
              <w:jc w:val="both"/>
              <w:spacing w:after="4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практикум «Боремся с коррупцией» (рассмотрение типичных ситуаций коррупционного поведения при сдаче экзамена, несоблюдении правил дорожного движения, получения пособия, получении справки, разрешения конфликта, организации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предпринимательской деятельности)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Лангепасский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pStyle w:val="854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практикум «Боремся с коррупцией»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проведен в ноябре 2024 года.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приняло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студентов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куратора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jc w:val="both"/>
              <w:spacing w:after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классных часов антикоррупционной направленности (лекции, деловые игры, дискуссии и др. формы)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22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Примерная тематика классных часов: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23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«Что такое коррупция?»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23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«Коррупция как особый вид правонарушения»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«Российское законодательство против коррупции»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«Причины коррупции, пути их преодоления»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23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«Откуда берется коррупция и как от нее избавиться?»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23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«Взятка - средство «легкого» решения вопроса или преступление?..»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«Взятка: за или против»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 «Коррупция — порождение зла»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14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 «Решение проблем «обходным» путем, негативные последствия»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19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 «Коррупционное поведение: возможные последствия»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18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 «Искоренение коррупции — иллюзии и реальность»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14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 победить коррупцию»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17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13. «Закон и коррупция»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19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 «Мое отношение к коррупции»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18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15. «Требования к человеку, обличенному властью»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line="27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 «Мировой опыт борьбы с коррупцией»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ind w:right="67"/>
              <w:jc w:val="both"/>
              <w:spacing w:after="4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17. «Борьба с коррупцией как вызов времени»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ind w:right="67"/>
              <w:jc w:val="center"/>
              <w:spacing w:after="4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Лангепасский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ind w:right="67" w:firstLine="459"/>
              <w:jc w:val="both"/>
              <w:spacing w:after="4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сентября по март 2024 года регулярно проводились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антикоррупционн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Охват составил 225 студентов.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 xml:space="preserve">Проведение мероприятий по правовому воспитанию учащихся и правовому просвещению родителей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4»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 общеобразовательных организациях города Покачи обеспечено правовое просвещение старшеклассников на тему: Формирование знаний и навыков по противодействию коррупционного поведения в обществе». 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 разнообразных формах воспитательного воздействия на подростков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важное значение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имеет вовлечение их в те или иные игровые и творческие мероприятия: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- разъяснительная беседа с приглашением сотрудников правоохранительных органов с целью повышения уровня правосознания и правовой культуры обучающихся «Что такое коррупция?» «Ответственность за совершение правонарушений»;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- тематические классные часы «Честным быть модно и престижно», в рамках данного мероприятия использовались различные формы работы: презентации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антикоррупционных социальных роликов, обсуждение фильмов о коррупции, факты о коррупции.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 xml:space="preserve">Проведение мероприятий для учащихся 9-11 классов с участием представителей правоохранительных органов и прокуратуры по проблеме коррупции в обществе</w:t>
            </w: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1»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 участием сотрудников правоохранительных органов проведены тематические классные часы для учащихся 8-11 классов по вопросам формирования у подрастающего поколения нетерпимости к коррупции и иных видов правонарушений, охват составил 394 чел.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Конкурс рисунков «Коррупция – это…»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2»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учащихся школы организован и проведен конкурс рисунков, по итогам лучшие работы приняли участие в Международном молодежном конкурсе социальной антикоррупционной рекламы «Вместе против коррупции» и в городском конкурсе рисунков «Мы против коррупции!».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spacing w:after="200" w:line="276" w:lineRule="auto"/>
              <w:rPr>
                <w:rFonts w:ascii="Times New Roman" w:hAnsi="Times New Roman" w:cs="Times New Roman"/>
                <w:iCs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Анкетирование учащихся 9-11-х классов о коррупции</w:t>
            </w:r>
            <w:r>
              <w:rPr>
                <w:rFonts w:ascii="Times New Roman" w:hAnsi="Times New Roman" w:cs="Times New Roman"/>
                <w:iCs/>
                <w:sz w:val="24"/>
              </w:rPr>
            </w:r>
            <w:r>
              <w:rPr>
                <w:rFonts w:ascii="Times New Roman" w:hAnsi="Times New Roman" w:cs="Times New Roman"/>
                <w:iCs/>
                <w:sz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2»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обучающихся 9-11 классов провели анкетирование на тему «Что вы знаете о коррупции?». Тема злободневная, острая, необходимо было поставить вопросы так, чтобы учащиеся не затруднялись отвечать.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Учащиеся добросовестно подошли к анкетированию, старались ответить подробно на вопросы. На вопрос «Что такое коррупция?» большинство ответили, что это преступление, нарушение зак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она. Часть учащихся ответила на данный вопрос, что это воровство, мошенничество. По результатам анкетирования была проведена попытка оценить знания обучающихся по вопросам коррупции, а также выявить мнение относительно основных ее причин и способов борьбы.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62"/>
              <w:rPr>
                <w:szCs w:val="22"/>
              </w:rPr>
            </w:pPr>
            <w:r>
              <w:rPr>
                <w:bCs/>
                <w:szCs w:val="22"/>
              </w:rPr>
              <w:t xml:space="preserve">Проведение тематических родительских собраний по правовому просвещению и правового родительского всеобуча с привлечением инспектора </w:t>
            </w:r>
            <w:r>
              <w:rPr>
                <w:szCs w:val="28"/>
              </w:rPr>
              <w:t xml:space="preserve">ПДН ОП № 3 МОМВД России «Нижневартовский»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2»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течение года пров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едены тематические классные часы для обучающихся 8-11 классов, по правовому просвещению и родительский всеобуч, в рамках которых организовано информирование родителей и учащихся об уголовной и административной ответственности за общественно опасные деяния.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Анкетирование учащихся 9-11-х классов о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Муниципальное автономное общеобразовательное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учреждение «Средняя общеобразовательная школа № 4»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Проведено анкетирование учащихся 9-11 классов на тему «Что ты знаешь о коррупции?». Анкетирование проводилось с целью изучения отношения учащихся к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проблеме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коррупции. Приняли участие 116 человек. Опрос показал, что большинство учащихся, участвующих в опросе (81%) на первый план, выдвигают форму коррупции как взятка, (44%) факты злоупотребления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служебным положением и растрата государственных средств. Результаты анкетирования показывают, что школьники неравнодушны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проблеме коррупции в стране, они уверены, что с ней необходимо бороться не только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посредством работы антикоррупционных учреждений, но и с участием всего общества,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частью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которого они сами являются они сами.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«Горячей линии» для сбора и обобщения информации по правонарушениям в школе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4»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Организация работы «горячей линии» для сбора и обобщения информации по правонарушения в школе осуществляется в соответствии с планом работы по противодействию коррупции.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Правовой лекторий с приглашением помощника прокурора и инспектора по делам несовершеннолетних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2»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обучающ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ихся 7-11 классов проведен правовые лектории с приглашением помощника прокурора и инспектора по делам несовершеннолетних на тему «Административная и уголовная ответственность несовершеннолетних за совершение правонарушений всякого рода», охват 341 человек.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Организация проведения анкетирования родителей (законных представителей) по изучению мнения о качестве оказания муниципальных услуг в сфере общего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4»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Среди родителей (законных представителей) проведено анкетирование по изучению мнения о качестве оказания муниципальных услуг в сфере общего образования. В анкетировании приняли участие 457 респондентов – родителей (законных представителей).</w:t>
            </w:r>
            <w: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Уровень удовлетворенности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качеством оказания муниципальных услуг в сфере общего образования составляет – 97,8%.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Проведение тематических родительских собраний по правовому просвещению и правового родительского всеобуча с привлечением инспектора ПДН ОП № 3 МОМВД России «Нижневартовский»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общеобразовательная школа № 4»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 течение 2024 года в школе проведены тематические родительские собрания с участием инспектора ПДН ОП № 3 МОМВД России «Нижневартовский», в рамках которых рассмотрены вопросы правового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характера. Охват составил 446 человек.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Заседание школы родительской любви «Коррупция и антикоррупционная политика школы»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1»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В октябре 2024 года проведено традиционное мероприятие «Школа родительской любви» на тему «Современный подросток – кто он?», на котором одним из пунктов повестки рассмотрен вопрос «Коррупция и антикоррупционная политика школы»</w:t>
            </w:r>
            <w:r>
              <w:t xml:space="preserve">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Круглый стол «Коррупция в общественной жизни»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2»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учащихся 8-9 классов проведен круглый стол «Коррупция в общественной жизни», на котором учащиеся рассуждали на тему «Причины коррупции»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пытались раскрыть пути и способы борьбы с коррупцией, разгадывали ребусы и давали объяснения отгаданным понятиям, выбирали из перечня пословиц и поговорок, те которые, на их взгляд, наиболее полно отражают пагубность коррупции, охват составил 75 человек.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тематических классных часов, посвящённых Международному Дню борьбы с коррупцией «Наши права – наши обязанности», «Право на образование», «Мои права. Я – гражданин. Потребности и желания» и др.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1»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 период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с 9 по 13 декабря с целью просвещения, пропаганды и формирования у обучающихся антикоррупционного мировоззрения в 5-11 классах прошли тематические классные часы, посвященные Международному дню борьбы с коррупцией «Наши права-наши обязанности», «Мои права.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Я-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гражданин!».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Беседа «Успех без нарушений»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2»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Беседа на тему «Успех без нарушений»10- А класс (23 человек), 11-А класс (18 человек). Учащиеся обсуждали проблемы коррупции в России. (10-11 класс)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Тема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тические классные часы, посвященные дню борьбы с коррупцией: «Умей сказать НЕТ!», «В паутине коррупции», «Откуда берутся запреты?», «Коррупция в мире и в России», «Без коррупции с детства», «Коррупция и общество в России», «Скажи коррупции «Нет!», «Вместе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проти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коррупции»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2»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Тематические классные часы, посвященные Дню борьбы с коррупцией: в 1-11 классах. «Открытый диалог» со старшеклассниками (8-9 классы)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подготовленных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участием обучающихся по теме антикоррупционной направленности. Учащиеся выступают с докладами по предмету встречи,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участвуют в дискуссии. В процессе проведения таких встреч узнают о положительном опыте прошлого, а также обсуждают современные проблемы с учащимися 1-11 классов. 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Подготовка видео ролика на тему «НЕТ коррупции»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2»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Подготовлен видеоролик по антикоррупционному образованию «Скажем коррупции «Нет!», который в последу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ющем использовался на тематических мероприятиях по антикоррупционной направленности. Данный видеоролик направлен для участия в Международном молодежном конкурсе социальной антикоррупционной рекламы «Вместе против коррупции» в номинации «Лучший видеоролик».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Информационный стенд 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STOP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-коррупция!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Антикоррупция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2»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Размещено на общедоступных местах в школе и на школьном сайте:  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план мероприятий по антикоррупционной политике; 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адреса и телефоны органов, куда должны обращаться граждане в случае проявления коррупционных действий: фактов вымогательства, взяточничества и других проявлений коррупции по внесению денежных средств.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Организация проведения анкетирования родителей (законных представителей) по изучению мнения о качестве оказания муниципальных услуг в сфере общего образования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2»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 опрос изучению мнения о качестве оказания муниципальных услуг в сфере общего образования, количество респондентов составило 423 человека, удовлетворительные.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Уровень удовлетворенности качеством оказания муниципальных услуг в сфере общего образования составляет выше 90 %.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Организация работы «Горячей линии» для сбора и обобщения информации по правонарушениям в школе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2»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родительских собраниях классные руководители проинформировали родителей о «телефоне доверия».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Классные часы, посвященные международному Дню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антикоррупции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«Не в службу, а в дружбу», «Деньги свои и чужие», «Своего спасибо не жалей, а чужого не жди», «Хорошо тому делать добро, кто его помнит»,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«Можно ли противодействовать коррупции», «Быть честным», «Отношение к деньгам как к проверке нравственной стойкости человека», «На страже порядка», «По законам справедливости», «Мое отношение к коррупции», «Коррупция как способ борьбы за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власт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», «Российское законодательство о коррупции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школа № 4»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декабре 2024 года в школе организованы и проведены тематические классные часы, посвященные Международному Дню коррупции,</w:t>
            </w:r>
            <w: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рамках классных часов использовались различные формы работы - презентации антикоррупционных социальных роликов,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обсуждение фильмов о коррупции, факты о коррупции и др., охват 326 человек.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Проведение мероприятий по правовому консультированию и просвещению родителей (законных представителей)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дошкольное образовательное учреждение «Центр развития ребенка – детский сад»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рамках дней правовой помощи администрацией МАДОУ ЦРР - д/с было организовано оказание бесплатной правовой помощи гражданам по вопросу предоставления доступного бесплатного дошкольного общего образования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Книжные выставки: «Права человека», «Наши права – наши обязанности», «Право на образование», «Подросток и закон», «Закон в твоей жизни»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4»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обучающихся 1-11 классов в школе организованы книжные выставки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«Права человека», «Наши права – наши обязанности», «Право на образование», «Подросток и закон», «Закон в твоей жизни».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Участие в муниципальных, окружных и Всероссийских конкурсах по данной тематике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Муниципальное автономное общеобразовательное учреждение «Средняя общеобразовательная школа № 1»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 целью антикоррупционного воспитания молодежи, повышения правовой культуры детей и под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ростков 2 обучающихся школы приняли участие в городском конкурсе рисунков «Мы против коррупции!» и 1 обучающийся принял участие в Международном молодежном конкурсе социальной антикоррупционной рекламы «Вместе против коррупции» в номинации «Лучший рисунок».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Оформление стенда «Международный день борьбы с коррупцией»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1»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 период с 2 по 11 декабря в школе был оформлен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стенд на тему «Международный день борьбы с коррупцией».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Беседа «Права и обязанности граждан»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автономное общеобразовательное учреждение «Средняя общеобразовательная школа № 1»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 течение учебного года на уроках обществознания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учителями-предметниками проведены беседы в 6-11 классах на тему: «Права и обязанности граждан».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Единый день правовых знаний «Что я знаю о своих правах?»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4»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целях обобщения знаний учащихся об основных правах и обязанностях в ноябре 2024 года для обучающихся 8-11 классов проведен единый день правовых знаний «Что я знаю о своих правах?», 226 человек.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Круглые столы: методы борьбы с коррупцией и их эффективность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4»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декабре 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024 года для обучающихся 10 классов проведен круглый стол «Методы борьбы с коррупцией и их эффективность», в рамках которого рассмотрены вопросы формирования у подрастающего поколения нетерпимости к коррупции и иных видов правонарушений, охват 22 человека.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 антикоррупционных плакатов «Нет коррупции!»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4»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декабре текущего года в МАОУ СОШ № 4 проведен конкурс социальных плакатов «Нет коррупции» среди учащихся 7-8 классов. Лучшие работы были отмечены на выставке. Приняли участие 32 чел.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textDirection w:val="lrTb"/>
            <w:noWrap w:val="false"/>
          </w:tcPr>
          <w:p>
            <w:pPr>
              <w:pStyle w:val="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095" w:type="dxa"/>
            <w:textDirection w:val="lrTb"/>
            <w:noWrap w:val="false"/>
          </w:tcPr>
          <w:p>
            <w:pPr>
              <w:pStyle w:val="85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 творческих работ: «Легко ли быть честным?», «Если бы я стал депутатом (президентом)», «Будущее моей страны – в моих руках»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4»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954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обучающихся 6-8 классов проведен конкурс творческих работ «Легк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 ли быть честным?», «Если бы я стал депутатом (президентом)», «Будущее моей страны – в моих руках», с целью формирования активной гражданской позиции, антикоррупционного мировоззрения и воспитания негативного отношения к коррупции. Приняли участие 74 чел.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</w:tbl>
    <w:p>
      <w:pPr>
        <w:pStyle w:val="85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5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5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5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5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headerReference w:type="default" r:id="rId9"/>
      <w:footnotePr/>
      <w:endnotePr/>
      <w:type w:val="nextPage"/>
      <w:pgSz w:w="16838" w:h="11906" w:orient="landscape"/>
      <w:pgMar w:top="993" w:right="567" w:bottom="567" w:left="1134" w:header="284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1620984168"/>
      <w:docPartObj>
        <w:docPartGallery w:val="Page Numbers (Top of Page)"/>
        <w:docPartUnique w:val="true"/>
      </w:docPartObj>
      <w:rPr/>
    </w:sdtPr>
    <w:sdtContent>
      <w:p>
        <w:pPr>
          <w:pStyle w:val="858"/>
          <w:jc w:val="center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 xml:space="preserve">PAGE   \* MERGEFORMAT</w:instrText>
        </w:r>
        <w:r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</w:rPr>
          <w:t xml:space="preserve">2</w:t>
        </w:r>
        <w:r>
          <w:rPr>
            <w:rFonts w:ascii="Times New Roman" w:hAnsi="Times New Roman" w:cs="Times New Roman"/>
          </w:rPr>
          <w:fldChar w:fldCharType="end"/>
        </w:r>
        <w:r>
          <w:rPr>
            <w:rFonts w:ascii="Times New Roman" w:hAnsi="Times New Roman" w:cs="Times New Roman"/>
          </w:rPr>
        </w:r>
        <w:r>
          <w:rPr>
            <w:rFonts w:ascii="Times New Roman" w:hAnsi="Times New Roman" w:cs="Times New Roman"/>
          </w:rPr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7">
    <w:name w:val="Heading 1"/>
    <w:basedOn w:val="850"/>
    <w:next w:val="850"/>
    <w:link w:val="678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78">
    <w:name w:val="Heading 1 Char"/>
    <w:basedOn w:val="851"/>
    <w:link w:val="677"/>
    <w:uiPriority w:val="9"/>
    <w:rPr>
      <w:rFonts w:ascii="Arial" w:hAnsi="Arial" w:eastAsia="Arial" w:cs="Arial"/>
      <w:sz w:val="40"/>
      <w:szCs w:val="40"/>
    </w:rPr>
  </w:style>
  <w:style w:type="paragraph" w:styleId="679">
    <w:name w:val="Heading 2"/>
    <w:basedOn w:val="850"/>
    <w:next w:val="850"/>
    <w:link w:val="680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0">
    <w:name w:val="Heading 2 Char"/>
    <w:basedOn w:val="851"/>
    <w:link w:val="679"/>
    <w:uiPriority w:val="9"/>
    <w:rPr>
      <w:rFonts w:ascii="Arial" w:hAnsi="Arial" w:eastAsia="Arial" w:cs="Arial"/>
      <w:sz w:val="34"/>
    </w:rPr>
  </w:style>
  <w:style w:type="paragraph" w:styleId="681">
    <w:name w:val="Heading 3"/>
    <w:basedOn w:val="850"/>
    <w:next w:val="850"/>
    <w:link w:val="68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2">
    <w:name w:val="Heading 3 Char"/>
    <w:basedOn w:val="851"/>
    <w:link w:val="681"/>
    <w:uiPriority w:val="9"/>
    <w:rPr>
      <w:rFonts w:ascii="Arial" w:hAnsi="Arial" w:eastAsia="Arial" w:cs="Arial"/>
      <w:sz w:val="30"/>
      <w:szCs w:val="30"/>
    </w:rPr>
  </w:style>
  <w:style w:type="paragraph" w:styleId="683">
    <w:name w:val="Heading 4"/>
    <w:basedOn w:val="850"/>
    <w:next w:val="850"/>
    <w:link w:val="684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4">
    <w:name w:val="Heading 4 Char"/>
    <w:basedOn w:val="851"/>
    <w:link w:val="683"/>
    <w:uiPriority w:val="9"/>
    <w:rPr>
      <w:rFonts w:ascii="Arial" w:hAnsi="Arial" w:eastAsia="Arial" w:cs="Arial"/>
      <w:b/>
      <w:bCs/>
      <w:sz w:val="26"/>
      <w:szCs w:val="26"/>
    </w:rPr>
  </w:style>
  <w:style w:type="paragraph" w:styleId="685">
    <w:name w:val="Heading 5"/>
    <w:basedOn w:val="850"/>
    <w:next w:val="850"/>
    <w:link w:val="68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6">
    <w:name w:val="Heading 5 Char"/>
    <w:basedOn w:val="851"/>
    <w:link w:val="685"/>
    <w:uiPriority w:val="9"/>
    <w:rPr>
      <w:rFonts w:ascii="Arial" w:hAnsi="Arial" w:eastAsia="Arial" w:cs="Arial"/>
      <w:b/>
      <w:bCs/>
      <w:sz w:val="24"/>
      <w:szCs w:val="24"/>
    </w:rPr>
  </w:style>
  <w:style w:type="paragraph" w:styleId="687">
    <w:name w:val="Heading 6"/>
    <w:basedOn w:val="850"/>
    <w:next w:val="850"/>
    <w:link w:val="68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8">
    <w:name w:val="Heading 6 Char"/>
    <w:basedOn w:val="851"/>
    <w:link w:val="687"/>
    <w:uiPriority w:val="9"/>
    <w:rPr>
      <w:rFonts w:ascii="Arial" w:hAnsi="Arial" w:eastAsia="Arial" w:cs="Arial"/>
      <w:b/>
      <w:bCs/>
      <w:sz w:val="22"/>
      <w:szCs w:val="22"/>
    </w:rPr>
  </w:style>
  <w:style w:type="paragraph" w:styleId="689">
    <w:name w:val="Heading 7"/>
    <w:basedOn w:val="850"/>
    <w:next w:val="850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0">
    <w:name w:val="Heading 7 Char"/>
    <w:basedOn w:val="851"/>
    <w:link w:val="68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1">
    <w:name w:val="Heading 8"/>
    <w:basedOn w:val="850"/>
    <w:next w:val="850"/>
    <w:link w:val="69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2">
    <w:name w:val="Heading 8 Char"/>
    <w:basedOn w:val="851"/>
    <w:link w:val="691"/>
    <w:uiPriority w:val="9"/>
    <w:rPr>
      <w:rFonts w:ascii="Arial" w:hAnsi="Arial" w:eastAsia="Arial" w:cs="Arial"/>
      <w:i/>
      <w:iCs/>
      <w:sz w:val="22"/>
      <w:szCs w:val="22"/>
    </w:rPr>
  </w:style>
  <w:style w:type="paragraph" w:styleId="693">
    <w:name w:val="Heading 9"/>
    <w:basedOn w:val="850"/>
    <w:next w:val="850"/>
    <w:link w:val="6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4">
    <w:name w:val="Heading 9 Char"/>
    <w:basedOn w:val="851"/>
    <w:link w:val="693"/>
    <w:uiPriority w:val="9"/>
    <w:rPr>
      <w:rFonts w:ascii="Arial" w:hAnsi="Arial" w:eastAsia="Arial" w:cs="Arial"/>
      <w:i/>
      <w:iCs/>
      <w:sz w:val="21"/>
      <w:szCs w:val="21"/>
    </w:rPr>
  </w:style>
  <w:style w:type="paragraph" w:styleId="695">
    <w:name w:val="List Paragraph"/>
    <w:basedOn w:val="850"/>
    <w:uiPriority w:val="34"/>
    <w:qFormat/>
    <w:pPr>
      <w:contextualSpacing/>
      <w:ind w:left="720"/>
    </w:pPr>
  </w:style>
  <w:style w:type="paragraph" w:styleId="696">
    <w:name w:val="Title"/>
    <w:basedOn w:val="850"/>
    <w:next w:val="850"/>
    <w:link w:val="69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7">
    <w:name w:val="Title Char"/>
    <w:basedOn w:val="851"/>
    <w:link w:val="696"/>
    <w:uiPriority w:val="10"/>
    <w:rPr>
      <w:sz w:val="48"/>
      <w:szCs w:val="48"/>
    </w:rPr>
  </w:style>
  <w:style w:type="paragraph" w:styleId="698">
    <w:name w:val="Subtitle"/>
    <w:basedOn w:val="850"/>
    <w:next w:val="850"/>
    <w:link w:val="699"/>
    <w:uiPriority w:val="11"/>
    <w:qFormat/>
    <w:pPr>
      <w:spacing w:before="200" w:after="200"/>
    </w:pPr>
    <w:rPr>
      <w:sz w:val="24"/>
      <w:szCs w:val="24"/>
    </w:rPr>
  </w:style>
  <w:style w:type="character" w:styleId="699">
    <w:name w:val="Subtitle Char"/>
    <w:basedOn w:val="851"/>
    <w:link w:val="698"/>
    <w:uiPriority w:val="11"/>
    <w:rPr>
      <w:sz w:val="24"/>
      <w:szCs w:val="24"/>
    </w:rPr>
  </w:style>
  <w:style w:type="paragraph" w:styleId="700">
    <w:name w:val="Quote"/>
    <w:basedOn w:val="850"/>
    <w:next w:val="850"/>
    <w:link w:val="701"/>
    <w:uiPriority w:val="29"/>
    <w:qFormat/>
    <w:pPr>
      <w:ind w:left="720" w:right="720"/>
    </w:pPr>
    <w:rPr>
      <w:i/>
    </w:rPr>
  </w:style>
  <w:style w:type="character" w:styleId="701">
    <w:name w:val="Quote Char"/>
    <w:link w:val="700"/>
    <w:uiPriority w:val="29"/>
    <w:rPr>
      <w:i/>
    </w:rPr>
  </w:style>
  <w:style w:type="paragraph" w:styleId="702">
    <w:name w:val="Intense Quote"/>
    <w:basedOn w:val="850"/>
    <w:next w:val="850"/>
    <w:link w:val="70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3">
    <w:name w:val="Intense Quote Char"/>
    <w:link w:val="702"/>
    <w:uiPriority w:val="30"/>
    <w:rPr>
      <w:i/>
    </w:rPr>
  </w:style>
  <w:style w:type="character" w:styleId="704">
    <w:name w:val="Header Char"/>
    <w:basedOn w:val="851"/>
    <w:link w:val="858"/>
    <w:uiPriority w:val="99"/>
  </w:style>
  <w:style w:type="character" w:styleId="705">
    <w:name w:val="Footer Char"/>
    <w:basedOn w:val="851"/>
    <w:link w:val="860"/>
    <w:uiPriority w:val="99"/>
  </w:style>
  <w:style w:type="paragraph" w:styleId="706">
    <w:name w:val="Caption"/>
    <w:basedOn w:val="850"/>
    <w:next w:val="85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7">
    <w:name w:val="Caption Char"/>
    <w:basedOn w:val="706"/>
    <w:link w:val="860"/>
    <w:uiPriority w:val="99"/>
  </w:style>
  <w:style w:type="table" w:styleId="708">
    <w:name w:val="Table Grid Light"/>
    <w:basedOn w:val="85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9">
    <w:name w:val="Plain Table 1"/>
    <w:basedOn w:val="85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0">
    <w:name w:val="Plain Table 2"/>
    <w:basedOn w:val="85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1">
    <w:name w:val="Plain Table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2">
    <w:name w:val="Plain Table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Plain Table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4">
    <w:name w:val="Grid Table 1 Light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4"/>
    <w:basedOn w:val="8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6">
    <w:name w:val="Grid Table 4 - Accent 1"/>
    <w:basedOn w:val="8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7">
    <w:name w:val="Grid Table 4 - Accent 2"/>
    <w:basedOn w:val="8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8">
    <w:name w:val="Grid Table 4 - Accent 3"/>
    <w:basedOn w:val="8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9">
    <w:name w:val="Grid Table 4 - Accent 4"/>
    <w:basedOn w:val="8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0">
    <w:name w:val="Grid Table 4 - Accent 5"/>
    <w:basedOn w:val="8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1">
    <w:name w:val="Grid Table 4 - Accent 6"/>
    <w:basedOn w:val="8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2">
    <w:name w:val="Grid Table 5 Dark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3">
    <w:name w:val="Grid Table 5 Dark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5">
    <w:name w:val="Grid Table 5 Dark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6">
    <w:name w:val="Grid Table 5 Dark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9">
    <w:name w:val="Grid Table 6 Colorful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0">
    <w:name w:val="Grid Table 6 Colorful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1">
    <w:name w:val="Grid Table 6 Colorful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2">
    <w:name w:val="Grid Table 6 Colorful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3">
    <w:name w:val="Grid Table 6 Colorful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4">
    <w:name w:val="Grid Table 6 Colorful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5">
    <w:name w:val="Grid Table 6 Colorful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6">
    <w:name w:val="Grid Table 7 Colorful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1">
    <w:name w:val="List Table 2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2">
    <w:name w:val="List Table 2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3">
    <w:name w:val="List Table 2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4">
    <w:name w:val="List Table 2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5">
    <w:name w:val="List Table 2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6">
    <w:name w:val="List Table 2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7">
    <w:name w:val="List Table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5 Dark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6 Colorful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9">
    <w:name w:val="List Table 6 Colorful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0">
    <w:name w:val="List Table 6 Colorful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1">
    <w:name w:val="List Table 6 Colorful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2">
    <w:name w:val="List Table 6 Colorful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3">
    <w:name w:val="List Table 6 Colorful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4">
    <w:name w:val="List Table 6 Colorful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5">
    <w:name w:val="List Table 7 Colorful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6">
    <w:name w:val="List Table 7 Colorful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7">
    <w:name w:val="List Table 7 Colorful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8">
    <w:name w:val="List Table 7 Colorful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9">
    <w:name w:val="List Table 7 Colorful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0">
    <w:name w:val="List Table 7 Colorful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1">
    <w:name w:val="List Table 7 Colorful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2">
    <w:name w:val="Lined - Accent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3">
    <w:name w:val="Lined - Accent 1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4">
    <w:name w:val="Lined - Accent 2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5">
    <w:name w:val="Lined - Accent 3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6">
    <w:name w:val="Lined - Accent 4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7">
    <w:name w:val="Lined - Accent 5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8">
    <w:name w:val="Lined - Accent 6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9">
    <w:name w:val="Bordered &amp; Lined - Accent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0">
    <w:name w:val="Bordered &amp; Lined - Accent 1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1">
    <w:name w:val="Bordered &amp; Lined - Accent 2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2">
    <w:name w:val="Bordered &amp; Lined - Accent 3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3">
    <w:name w:val="Bordered &amp; Lined - Accent 4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4">
    <w:name w:val="Bordered &amp; Lined - Accent 5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5">
    <w:name w:val="Bordered &amp; Lined - Accent 6"/>
    <w:basedOn w:val="8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6">
    <w:name w:val="Bordered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7">
    <w:name w:val="Bordered - Accent 1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8">
    <w:name w:val="Bordered - Accent 2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9">
    <w:name w:val="Bordered - Accent 3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0">
    <w:name w:val="Bordered - Accent 4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1">
    <w:name w:val="Bordered - Accent 5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2">
    <w:name w:val="Bordered - Accent 6"/>
    <w:basedOn w:val="8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33">
    <w:name w:val="footnote text"/>
    <w:basedOn w:val="850"/>
    <w:link w:val="834"/>
    <w:uiPriority w:val="99"/>
    <w:semiHidden/>
    <w:unhideWhenUsed/>
    <w:pPr>
      <w:spacing w:after="40" w:line="240" w:lineRule="auto"/>
    </w:pPr>
    <w:rPr>
      <w:sz w:val="18"/>
    </w:rPr>
  </w:style>
  <w:style w:type="character" w:styleId="834">
    <w:name w:val="Footnote Text Char"/>
    <w:link w:val="833"/>
    <w:uiPriority w:val="99"/>
    <w:rPr>
      <w:sz w:val="18"/>
    </w:rPr>
  </w:style>
  <w:style w:type="character" w:styleId="835">
    <w:name w:val="footnote reference"/>
    <w:basedOn w:val="851"/>
    <w:uiPriority w:val="99"/>
    <w:unhideWhenUsed/>
    <w:rPr>
      <w:vertAlign w:val="superscript"/>
    </w:rPr>
  </w:style>
  <w:style w:type="paragraph" w:styleId="836">
    <w:name w:val="endnote text"/>
    <w:basedOn w:val="850"/>
    <w:link w:val="837"/>
    <w:uiPriority w:val="99"/>
    <w:semiHidden/>
    <w:unhideWhenUsed/>
    <w:pPr>
      <w:spacing w:after="0" w:line="240" w:lineRule="auto"/>
    </w:pPr>
    <w:rPr>
      <w:sz w:val="20"/>
    </w:rPr>
  </w:style>
  <w:style w:type="character" w:styleId="837">
    <w:name w:val="Endnote Text Char"/>
    <w:link w:val="836"/>
    <w:uiPriority w:val="99"/>
    <w:rPr>
      <w:sz w:val="20"/>
    </w:rPr>
  </w:style>
  <w:style w:type="character" w:styleId="838">
    <w:name w:val="endnote reference"/>
    <w:basedOn w:val="851"/>
    <w:uiPriority w:val="99"/>
    <w:semiHidden/>
    <w:unhideWhenUsed/>
    <w:rPr>
      <w:vertAlign w:val="superscript"/>
    </w:rPr>
  </w:style>
  <w:style w:type="paragraph" w:styleId="839">
    <w:name w:val="toc 1"/>
    <w:basedOn w:val="850"/>
    <w:next w:val="850"/>
    <w:uiPriority w:val="39"/>
    <w:unhideWhenUsed/>
    <w:pPr>
      <w:ind w:left="0" w:right="0" w:firstLine="0"/>
      <w:spacing w:after="57"/>
    </w:pPr>
  </w:style>
  <w:style w:type="paragraph" w:styleId="840">
    <w:name w:val="toc 2"/>
    <w:basedOn w:val="850"/>
    <w:next w:val="850"/>
    <w:uiPriority w:val="39"/>
    <w:unhideWhenUsed/>
    <w:pPr>
      <w:ind w:left="283" w:right="0" w:firstLine="0"/>
      <w:spacing w:after="57"/>
    </w:pPr>
  </w:style>
  <w:style w:type="paragraph" w:styleId="841">
    <w:name w:val="toc 3"/>
    <w:basedOn w:val="850"/>
    <w:next w:val="850"/>
    <w:uiPriority w:val="39"/>
    <w:unhideWhenUsed/>
    <w:pPr>
      <w:ind w:left="567" w:right="0" w:firstLine="0"/>
      <w:spacing w:after="57"/>
    </w:pPr>
  </w:style>
  <w:style w:type="paragraph" w:styleId="842">
    <w:name w:val="toc 4"/>
    <w:basedOn w:val="850"/>
    <w:next w:val="850"/>
    <w:uiPriority w:val="39"/>
    <w:unhideWhenUsed/>
    <w:pPr>
      <w:ind w:left="850" w:right="0" w:firstLine="0"/>
      <w:spacing w:after="57"/>
    </w:pPr>
  </w:style>
  <w:style w:type="paragraph" w:styleId="843">
    <w:name w:val="toc 5"/>
    <w:basedOn w:val="850"/>
    <w:next w:val="850"/>
    <w:uiPriority w:val="39"/>
    <w:unhideWhenUsed/>
    <w:pPr>
      <w:ind w:left="1134" w:right="0" w:firstLine="0"/>
      <w:spacing w:after="57"/>
    </w:pPr>
  </w:style>
  <w:style w:type="paragraph" w:styleId="844">
    <w:name w:val="toc 6"/>
    <w:basedOn w:val="850"/>
    <w:next w:val="850"/>
    <w:uiPriority w:val="39"/>
    <w:unhideWhenUsed/>
    <w:pPr>
      <w:ind w:left="1417" w:right="0" w:firstLine="0"/>
      <w:spacing w:after="57"/>
    </w:pPr>
  </w:style>
  <w:style w:type="paragraph" w:styleId="845">
    <w:name w:val="toc 7"/>
    <w:basedOn w:val="850"/>
    <w:next w:val="850"/>
    <w:uiPriority w:val="39"/>
    <w:unhideWhenUsed/>
    <w:pPr>
      <w:ind w:left="1701" w:right="0" w:firstLine="0"/>
      <w:spacing w:after="57"/>
    </w:pPr>
  </w:style>
  <w:style w:type="paragraph" w:styleId="846">
    <w:name w:val="toc 8"/>
    <w:basedOn w:val="850"/>
    <w:next w:val="850"/>
    <w:uiPriority w:val="39"/>
    <w:unhideWhenUsed/>
    <w:pPr>
      <w:ind w:left="1984" w:right="0" w:firstLine="0"/>
      <w:spacing w:after="57"/>
    </w:pPr>
  </w:style>
  <w:style w:type="paragraph" w:styleId="847">
    <w:name w:val="toc 9"/>
    <w:basedOn w:val="850"/>
    <w:next w:val="850"/>
    <w:uiPriority w:val="39"/>
    <w:unhideWhenUsed/>
    <w:pPr>
      <w:ind w:left="2268" w:right="0" w:firstLine="0"/>
      <w:spacing w:after="57"/>
    </w:pPr>
  </w:style>
  <w:style w:type="paragraph" w:styleId="848">
    <w:name w:val="TOC Heading"/>
    <w:uiPriority w:val="39"/>
    <w:unhideWhenUsed/>
  </w:style>
  <w:style w:type="paragraph" w:styleId="849">
    <w:name w:val="table of figures"/>
    <w:basedOn w:val="850"/>
    <w:next w:val="850"/>
    <w:uiPriority w:val="99"/>
    <w:unhideWhenUsed/>
    <w:pPr>
      <w:spacing w:after="0" w:afterAutospacing="0"/>
    </w:pPr>
  </w:style>
  <w:style w:type="paragraph" w:styleId="850" w:default="1">
    <w:name w:val="Normal"/>
    <w:qFormat/>
  </w:style>
  <w:style w:type="character" w:styleId="851" w:default="1">
    <w:name w:val="Default Paragraph Font"/>
    <w:uiPriority w:val="1"/>
    <w:semiHidden/>
    <w:unhideWhenUsed/>
  </w:style>
  <w:style w:type="table" w:styleId="85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3" w:default="1">
    <w:name w:val="No List"/>
    <w:uiPriority w:val="99"/>
    <w:semiHidden/>
    <w:unhideWhenUsed/>
  </w:style>
  <w:style w:type="paragraph" w:styleId="854">
    <w:name w:val="No Spacing"/>
    <w:uiPriority w:val="1"/>
    <w:qFormat/>
    <w:pPr>
      <w:spacing w:after="0" w:line="240" w:lineRule="auto"/>
    </w:pPr>
  </w:style>
  <w:style w:type="table" w:styleId="855">
    <w:name w:val="Table Grid"/>
    <w:basedOn w:val="85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856">
    <w:name w:val="Balloon Text"/>
    <w:basedOn w:val="850"/>
    <w:link w:val="85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57" w:customStyle="1">
    <w:name w:val="Текст выноски Знак"/>
    <w:basedOn w:val="851"/>
    <w:link w:val="856"/>
    <w:uiPriority w:val="99"/>
    <w:semiHidden/>
    <w:rPr>
      <w:rFonts w:ascii="Tahoma" w:hAnsi="Tahoma" w:cs="Tahoma"/>
      <w:sz w:val="16"/>
      <w:szCs w:val="16"/>
    </w:rPr>
  </w:style>
  <w:style w:type="paragraph" w:styleId="858">
    <w:name w:val="Header"/>
    <w:basedOn w:val="850"/>
    <w:link w:val="85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59" w:customStyle="1">
    <w:name w:val="Верхний колонтитул Знак"/>
    <w:basedOn w:val="851"/>
    <w:link w:val="858"/>
    <w:uiPriority w:val="99"/>
  </w:style>
  <w:style w:type="paragraph" w:styleId="860">
    <w:name w:val="Footer"/>
    <w:basedOn w:val="850"/>
    <w:link w:val="86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61" w:customStyle="1">
    <w:name w:val="Нижний колонтитул Знак"/>
    <w:basedOn w:val="851"/>
    <w:link w:val="860"/>
    <w:uiPriority w:val="99"/>
  </w:style>
  <w:style w:type="paragraph" w:styleId="862" w:customStyle="1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863">
    <w:name w:val="annotation reference"/>
    <w:basedOn w:val="851"/>
    <w:uiPriority w:val="99"/>
    <w:semiHidden/>
    <w:unhideWhenUsed/>
    <w:rPr>
      <w:sz w:val="16"/>
      <w:szCs w:val="16"/>
    </w:rPr>
  </w:style>
  <w:style w:type="paragraph" w:styleId="864">
    <w:name w:val="annotation text"/>
    <w:basedOn w:val="850"/>
    <w:link w:val="865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865" w:customStyle="1">
    <w:name w:val="Текст примечания Знак"/>
    <w:basedOn w:val="851"/>
    <w:link w:val="864"/>
    <w:uiPriority w:val="99"/>
    <w:semiHidden/>
    <w:rPr>
      <w:sz w:val="20"/>
      <w:szCs w:val="20"/>
    </w:rPr>
  </w:style>
  <w:style w:type="paragraph" w:styleId="866">
    <w:name w:val="annotation subject"/>
    <w:basedOn w:val="864"/>
    <w:next w:val="864"/>
    <w:link w:val="867"/>
    <w:uiPriority w:val="99"/>
    <w:semiHidden/>
    <w:unhideWhenUsed/>
    <w:rPr>
      <w:b/>
      <w:bCs/>
    </w:rPr>
  </w:style>
  <w:style w:type="character" w:styleId="867" w:customStyle="1">
    <w:name w:val="Тема примечания Знак"/>
    <w:basedOn w:val="865"/>
    <w:link w:val="866"/>
    <w:uiPriority w:val="99"/>
    <w:semiHidden/>
    <w:rPr>
      <w:b/>
      <w:bCs/>
      <w:sz w:val="20"/>
      <w:szCs w:val="20"/>
    </w:rPr>
  </w:style>
  <w:style w:type="character" w:styleId="868">
    <w:name w:val="Hyperlink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E58265-9F0C-463F-A502-4F7477A3B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SPecialiST RePack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revision>36</cp:revision>
  <dcterms:created xsi:type="dcterms:W3CDTF">2021-12-02T06:48:00Z</dcterms:created>
  <dcterms:modified xsi:type="dcterms:W3CDTF">2025-01-31T11:01:53Z</dcterms:modified>
</cp:coreProperties>
</file>